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ЮРИДИЧЕСКАЯ СТРУКТУРА</w:t>
      </w:r>
    </w:p>
    <w:p>
      <w:pPr>
        <w:spacing w:after="100" w:before="100"/>
        <w:jc w:val="center"/>
      </w:pPr>
      <w:r>
        <w:rPr>
          <w:rFonts w:ascii="Arial" w:cs="Arial" w:eastAsia="Arial" w:hAnsi="Arial"/>
          <w:color w:val="2E75B6"/>
          <w:sz w:val="34"/>
          <w:szCs w:val="34"/>
        </w:rPr>
        <w:t xml:space="preserve">финтех-платформы для фудкортов</w:t>
      </w:r>
    </w:p>
    <w:p>
      <w:pPr>
        <w:spacing w:after="400" w:before="60"/>
        <w:jc w:val="center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Договорные отношения  •  Кассовый чек  •  Сплит-платежи  •  Налоговые аспекты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РАБОЧАЯ ВЕРСИЯ — КОНФИДЕНЦИАЛЬНО</w:t>
      </w:r>
    </w:p>
    <w:p>
      <w:pPr>
        <w:spacing w:after="0" w:before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Документ не является юридической консультацией. Перед применением необходима проверка квалифицированным юристом.</w:t>
      </w:r>
    </w:p>
    <w:p>
      <w:r>
        <w:br w:type="page"/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1. ОПИСАНИЕ БИЗНЕС-МОДЕЛИ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Платформа обеспечивает приём и автоматическое распределение платежей покупателей в фудкорте между несколькими бенефициарами без транзитного прохождения средств через единый расчётный счёт. Каждый участник получает свою долю непосредственно на собственный расчётный счёт через механизм сплит-платежей банка-эквайера.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1.1. Ключевые принципы модели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Единый платёжный интерфейс для покупателя — он совершает одну транзакцию.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Автоматическое распределение (сплит) средств банком в момент расчёта.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Каждый участник получает только свою долю выручки — средства других участников через его счёт не проходят.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Налоговая нагрузка каждого участника рассчитывается только от его доли, что позволяет при соответствующем обороте оставаться в рамках освобождения от НДС (до 60 млн руб./год, ст. 145 НК РФ в ред. с 01.01.2025).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Разработчик программного обеспечения монетизируется через лицензионные платежи от Оператора, не участвуя в расчётах с покупателями напрямую.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1.2. Участники и доли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1600"/>
        <w:gridCol w:w="1926"/>
      </w:tblGrid>
      <w:tr>
        <w:trPr>
          <w:tblHeader/>
        </w:trP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Участник</w:t>
            </w:r>
          </w:p>
        </w:tc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Роль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Доля от чека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Рекомендуемая СНО</w:t>
            </w:r>
          </w:p>
        </w:tc>
      </w:tr>
      <w:t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Разработчик (ООО/ИП)</w:t>
            </w:r>
          </w:p>
        </w:tc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Правообладатель ПО, лицензиар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Лицензионные роялти (от Оператора)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УСН / ОСН</w:t>
            </w:r>
          </w:p>
        </w:tc>
      </w:tr>
      <w:t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 (ООО/ИП)</w:t>
            </w:r>
          </w:p>
        </w:tc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Лицензиат ПО, организатор расчётов, платёжный агент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6,5% (10% минус 3,5% эквайринг)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УСН</w:t>
            </w:r>
          </w:p>
        </w:tc>
      </w:tr>
      <w:t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Банк-эквайер</w:t>
            </w:r>
          </w:p>
        </w:tc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Эквайринг, сплит-маршрутизация, номинальный счёт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3,5% (комиссия)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Арендодатель (ООО/ИП)</w:t>
            </w:r>
          </w:p>
        </w:tc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Собственник площади фудкорта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20%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УСН / ОСН</w:t>
            </w:r>
          </w:p>
        </w:tc>
      </w:tr>
      <w:t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ТСП (точка продаж, ИП/ООО)</w:t>
            </w:r>
          </w:p>
        </w:tc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Продавец товаров/услуг конечному покупателю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70%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УСН</w:t>
            </w:r>
          </w:p>
        </w:tc>
      </w:tr>
      <w:tr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Покупатель (физ. лицо)</w:t>
            </w:r>
          </w:p>
        </w:tc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Конечный потребитель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100% (плательщик)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—</w:t>
            </w:r>
          </w:p>
        </w:tc>
      </w:tr>
    </w:tbl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2. МАТРИЦА ДОГОВОРНЫХ ОТНОШЕНИЙ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Полная схема договорных связей между участниками:</w:t>
      </w:r>
    </w:p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400"/>
        <w:gridCol w:w="1600"/>
        <w:gridCol w:w="2800"/>
        <w:gridCol w:w="2826"/>
      </w:tblGrid>
      <w:tr>
        <w:trPr>
          <w:tblHeader/>
        </w:trP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№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Сторона А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Сторона Б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Тип договора</w:t>
            </w:r>
          </w:p>
        </w:tc>
        <w:tc>
          <w:tcPr>
            <w:tcW w:type="dxa" w:w="2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Ключевой предмет</w:t>
            </w:r>
          </w:p>
        </w:tc>
      </w:tr>
      <w:t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Разработчик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Лицензионный договор (неисключительная лицензия, гл. 70 ГК РФ)</w:t>
            </w:r>
          </w:p>
        </w:tc>
        <w:tc>
          <w:tcPr>
            <w:tcW w:type="dxa" w:w="2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Право использовать ПО платформы; роялти</w:t>
            </w:r>
          </w:p>
        </w:tc>
      </w:tr>
      <w:t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ТСП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Смешанный: агентский + сервисный (гл. 39, 52 ГК РФ) / публичная оферта</w:t>
            </w:r>
          </w:p>
        </w:tc>
        <w:tc>
          <w:tcPr>
            <w:tcW w:type="dxa" w:w="2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Приём платежей, 10% комиссия, кассовый чек</w:t>
            </w:r>
          </w:p>
        </w:tc>
      </w:tr>
      <w:t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3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Арендодатель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аренды с переменной платой (гл. 34 ГК РФ)</w:t>
            </w:r>
          </w:p>
        </w:tc>
        <w:tc>
          <w:tcPr>
            <w:tcW w:type="dxa" w:w="2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20% от оборота как арендная плата</w:t>
            </w:r>
          </w:p>
        </w:tc>
      </w:tr>
      <w:t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4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 / ТСП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Банк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эквайринга с многосторонней сплит-маршрутизацией</w:t>
            </w:r>
          </w:p>
        </w:tc>
        <w:tc>
          <w:tcPr>
            <w:tcW w:type="dxa" w:w="2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Приём платежей карт, 3,5% комиссия, сплит</w:t>
            </w:r>
          </w:p>
        </w:tc>
      </w:tr>
      <w:t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5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Банк (открывает)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 (владелец) + ТСП, Арендодатель (бенефициары)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номинального счёта (ст. 860.1-860.6 ГК РФ)</w:t>
            </w:r>
          </w:p>
        </w:tc>
        <w:tc>
          <w:tcPr>
            <w:tcW w:type="dxa" w:w="2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Транзитный счёт, защита средств бенефициаров</w:t>
            </w:r>
          </w:p>
        </w:tc>
      </w:tr>
      <w:tr>
        <w:tc>
          <w:tcPr>
            <w:tcW w:type="dxa" w:w="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 (публичная оферта)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Покупатель (акцептант)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оказания платёжного сервиса (ст. 437-438 ГК РФ)</w:t>
            </w:r>
          </w:p>
        </w:tc>
        <w:tc>
          <w:tcPr>
            <w:tcW w:type="dxa" w:w="28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Условия оплаты, возврат, данные продавца</w:t>
            </w:r>
          </w:p>
        </w:tc>
      </w:tr>
    </w:tbl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3. ДОГОВОР № 1: ЛИЦЕНЗИОННЫЙ ДОГОВОР (РАЗРАБОТЧИК → ОПЕРАТОР)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3.1. Правовая основа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Глава 70 ГК РФ (авторское право на программы для ЭВМ), ст. 1235-1237 ГК РФ (лицензионный договор). Регистрация в Роспатенте — при наличии свидетельства на ПО; в ином случае — простая письменная форма. Лицензионное вознаграждение НДС не облагается при применении сторонами УСН.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3.2. Ключевые условия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Предмет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Разработчик предоставляет Оператору неисключительную лицензию на использование ПО платёжной платформы для организации приёма и распределения платежей в местах общественного питания (фудкортах).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Способы использования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Воспроизведение, запись в память серверов, запуск, предоставление конечным пользователям (ТСП) в составе SaaS. Оператор вправе предоставлять сублицензии ТСП (на доступ к функционалу платформы) — прямо оговорить в договоре.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Вознаграждение (роялти)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Рекомендуется: фиксированная ежемесячная плата + переменная часть (1-3% от совокупного оборота, прошедшего через платформу). Плата за сублицензии ТСП — включена в роялти или устанавливается отдельно.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Территория и срок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РФ. Срок — конкретный с автопролонгацией. Избегать формулировки "бессрочный" без механизма расторжения.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SLA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Уровень доступности сервиса не ниже 99,5% в месяц. Время реакции на критические инциденты — не более 1 часа. Штрафные санкции за нарушение SLA.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Конфиденциальность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NDA встроено: Оператор не раскрывает третьим лицам алгоритмы, код, ноу-хау. Срок действия NDA — 5 лет после прекращения договора.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Запреты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Запрет Оператору: регистрировать ПО как своё, патентовать алгоритмы, использовать ПО вне разрешённых способов, передавать лицензию третьим лицам (кроме сублицензий ТСП).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3.3. Налоговые замечания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Роялти учитываются у Оператора как расходы на УСН (пп. 2.1 п. 1 ст. 346.16 НК РФ). У Разработчика — доход в момент получения. Если Разработчик — физлицо (не ИП), Оператор является налоговым агентом по НДФЛ (13-15%). Рекомендуется оформить Разработчика как ИП или ООО.</w:t>
      </w:r>
    </w:p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4. ДОГОВОР № 2: ПОДКЛЮЧЕНИЕ ТСП К ПЛАТФОРМЕ (ОПЕРАТОР → ТСП)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4.1. Правовая природа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Смешанный договор (п. 3 ст. 421 ГК РФ), сочетающий: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Агентский договор (гл. 52 ГК РФ): Оператор как агент принимает платежи в пользу ТСП-принципала от покупателей.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Договор возмездного оказания услуг (гл. 39 ГК РФ): предоставление платёжной инфраструктуры, кассового модуля, аналитики.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Сублицензионное соглашение: ТСП получает доступ к личному кабинету и кассовому ПО платформы.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4.2. Форма заключения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Рекомендуется двухуровневая форма: публичная оферта (ст. 437 ГК РФ), размещаемая на сайте/в приложении Оператора, + акцепт ТСП при регистрации (нажатие кнопки или подписание электронного документа). При необходимости — дополнительно подписанный акт подключения для крупных ТСП. Это ускоряет масштабирование без необходимости подписывать двусторонний договор с каждым ТСП.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4.3. Ключевые условия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Предмет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Оператор организует приём безналичных платежей от покупателей в пользу ТСП, формирует и передаёт кассовый чек в ФНС, предоставляет доступ к аналитическому личному кабинету, обеспечивает работу платёжного терминала/QR-кода на площадке.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Вознаграждение Оператора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10% от суммы каждой транзакции (включает комиссию банка-эквайера 3,5%). Фактическое вознаграждение Оператора — 6,5%. Удерживается автоматически при сплит-маршрутизации — ТСП никогда не "видит" эти 10%.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Выплата ТСП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70% от суммы каждой транзакции покупателя зачисляется на р/с ТСП напрямую банком не позднее T+1 рабочего дня. Средства не проходят через р/с Оператора.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Кассовый чек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Оператор формирует кассовый чек от имени ТСП (через КТ, зарегистрированную на ТСП, или как агент с признаком в чеке). Подробности — в разделе 9.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Отчётность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Оператор предоставляет ТСП ежедневный реестр транзакций через личный кабинет. Ежемесячный акт оказанных услуг (агентский отчёт) подписывается сторонами в электронном виде.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Возвраты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При возврате покупателю банк списывает 100% с получателей пропорционально долям маршрутизации. ТСП обязан обеспечить достаточный остаток на р/с для возможного возврата.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4.4. Обязанности ТСП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Использовать ККТ, зарегистрированную в ФНС и поддерживающую ФФД 1.2.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Поддерживать актуальность меню, цен и данных в личном кабинете.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Самостоятельно вести налоговый учёт; Оператор не является налоговым агентом ТСП.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Иметь все необходимые разрешения (Роспотребнадзор, пожарная служба, лицензии при необходимости).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Не принимать наличные платежи в обход платформы за позиции, реализуемые через неё.</w:t>
      </w:r>
    </w:p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5. ДОГОВОР № 3: ДОГОВОР С АРЕНДОДАТЕЛЕМ (ОПЕРАТОР → АРЕНДОДАТЕЛЬ)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5.1. Рекомендуемая конструкция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Оператор арендует площадь фудкорта у Арендодателя с переменной арендной платой в размере 20% от совокупного оборота ТСП на этой площади. Оператор далее предоставляет площади ТСП в субаренду или по договору возмездного пользования. Перечисление 20% Арендодателю происходит автоматически через сплит при каждой транзакции покупателя.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5.2. Альтернативная конструкция (агентская)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Если ТСП сами арендуют площади у Арендодателя: Оператор выступает агентом Арендодателя по сбору арендных платежей. При каждой транзакции банк автоматически перечисляет 20% на р/с Арендодателя. Правовое основание — агентский договор между Оператором и Арендодателем. Выбор конструкции зависит от коммерческой позиции Арендодателя.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5.3. Ключевые условия (рекомендуемая схема)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Предмет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Арендодатель передаёт Оператору в аренду нежилое помещение (площадь фудкорта) для организации и управления точками общественного питания.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Арендная плата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Переменная: 20% от совокупного оборота, прошедшего через платёжную платформу на арендуемой площади за расчётный период (календарный месяц). Минимальная фиксированная часть — по договорённости (защита Арендодателя в случае простоя).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Порядок перечисления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Арендная плата перечисляется на р/с Арендодателя посредством автоматической сплит-маршрутизации при каждой транзакции. Каждое такое перечисление является надлежащим исполнением обязательства по уплате арендной платы.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Документооборот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Ежемесячно: Оператор предоставляет Арендодателю реестр оборотов и акт сверки расчётов. Арендодатель выставляет счёт/акт на арендную плату (для целей бухучёта).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Субаренда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Оператор вправе предоставлять помещения ТСП в субаренду (или по договору возмездного пользования) без дополнительного согласования с Арендодателем — это условие прямо фиксируется в договоре аренды.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Срок договора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Менее 1 года с автопролонгацией — для избежания обязательной регистрации в Росреестре (п. 2 ст. 651 ГК РФ). Или долгосрочный с регистрацией.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5.4. Налоговые аспекты для Арендодателя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20%, поступающие на р/с Арендодателя через сплит, являются доходом от аренды. Арендодатель самостоятельно учитывает их в своей системе налогообложения. Рекомендуется в договоре указать, что каждое автоматическое перечисление через сплит является надлежащим исполнением обязательства по уплате арендной платы за соответствующий период.</w:t>
      </w:r>
    </w:p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6. ДОГОВОР № 4: ЭКВАЙРИНГ И СПЛИТ-МАРШРУТИЗАЦИЯ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6.1. Правовая основа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ФЗ № 161-ФЗ "О национальной платёжной системе"; Положение Банка России № 762-П "О правилах осуществления перевода денежных средств"; ст. 845-860 ГК РФ. Сплит-платёж закрепляется в специальном разделе договора эквайринга или отдельном соглашении о многосторонней маршрутизации платежей.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6.2. Схема распределения при транзакции 1 000 рублей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800"/>
        <w:gridCol w:w="1500"/>
        <w:gridCol w:w="2000"/>
        <w:gridCol w:w="3226"/>
      </w:tblGrid>
      <w:tr>
        <w:trPr>
          <w:tblHeader/>
        </w:trPr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Получатель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Доля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Сумма (из 1 000 руб.)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Р/с</w:t>
            </w:r>
          </w:p>
        </w:tc>
        <w:tc>
          <w:tcPr>
            <w:tcW w:type="dxa" w:w="3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Правовое основание</w:t>
            </w:r>
          </w:p>
        </w:tc>
      </w:tr>
      <w:tr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ТСП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70%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700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Р/с ТСП</w:t>
            </w:r>
          </w:p>
        </w:tc>
        <w:tc>
          <w:tcPr>
            <w:tcW w:type="dxa" w:w="3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подключения (ТСП — продавец)</w:t>
            </w:r>
          </w:p>
        </w:tc>
      </w:tr>
      <w:tr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Арендодатель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20%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200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Р/с Арендодателя</w:t>
            </w:r>
          </w:p>
        </w:tc>
        <w:tc>
          <w:tcPr>
            <w:tcW w:type="dxa" w:w="3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аренды / агентский дог.</w:t>
            </w:r>
          </w:p>
        </w:tc>
      </w:tr>
      <w:tr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6,5%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65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Р/с Оператора</w:t>
            </w:r>
          </w:p>
        </w:tc>
        <w:tc>
          <w:tcPr>
            <w:tcW w:type="dxa" w:w="3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Агентское вознаграждение</w:t>
            </w:r>
          </w:p>
        </w:tc>
      </w:tr>
      <w:tr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Банк (удерживает)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3,5%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35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Доход банка</w:t>
            </w:r>
          </w:p>
        </w:tc>
        <w:tc>
          <w:tcPr>
            <w:tcW w:type="dxa" w:w="3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эквайринга</w:t>
            </w:r>
          </w:p>
        </w:tc>
      </w:tr>
      <w:tr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ИТОГО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100%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1 000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—</w:t>
            </w:r>
          </w:p>
        </w:tc>
        <w:tc>
          <w:tcPr>
            <w:tcW w:type="dxa" w:w="32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—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6.3. Ключевые условия договора эквайринга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Тариф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3,5% от суммы каждой транзакции. Фиксируется в договоре; возможно снижение при превышении порогов оборота (например: 2,5% при обороте свыше 10 млн руб./мес.).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Таблица маршрутизации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Оператор предоставляет банку таблицу: получатель + доля + р/с + правовое основание. Изменение маршрутов — по уведомлению Оператора с приложением подтверждения договорного основания (при добавлении нового ТСП или Арендодателя).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Срок зачисления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T+1 рабочий день для всех получателей. Возможно T+0 для Оператора при наличии счёта в банке-эквайере.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Возвраты (chargeback)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При возврате банк пропорционально списывает со всех получателей согласно долям маршрутизации. Порядок урегулирования — дополнительный раздел в договорах Оператора с ТСП и Арендодателем.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Рекомендуемые банки/агрегаторы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Т-Банк (сплит через API), CloudPayments (гибкий API-сплит), ЮKassa (Яндекс), Точка. Технически наиболее удобны платёжные агрегаторы — они позволяют настроить маршрутизацию без прямого договора каждого получателя с банком.</w:t>
            </w:r>
          </w:p>
        </w:tc>
      </w:tr>
    </w:tbl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7. ДОГОВОР № 5: НОМИНАЛЬНЫЙ СЧЁТ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7.1. Правовая основа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Статьи 860.1-860.6 ГК РФ. Номинальный счёт открывается владельцу счёта (Оператору) для операций с денежными средствами, права на которые принадлежат бенефициару (ТСП, Арендодателю). Бенефициары могут устанавливать условия распоряжения средствами.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7.2. Когда применяется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Если банк-эквайер не реализует "чистый" мгновенный сплит, средства временно аккумулируются на счёте Оператора. Для правовой защиты бенефициаров этот счёт должен быть оформлен как номинальный.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7.3. Ключевые преимущества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Средства на номинальном счёте не являются собственностью Оператора и защищены от взыскания его кредиторами (ст. 860.5 ГК РФ).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Бенефициары имеют право контроля: могут запрашивать выписки и оспаривать операции.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Оператор не вправе использовать средства бенефициаров в своих коммерческих целях.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 случае банкротства Оператора средства номинального счёта не включаются в конкурсную массу.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7.4. Ключевые условия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Стороны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Банк + Оператор (владелец счёта) + ТСП и Арендодатель (бенефициары, подписывают договор или присоединяются к условиям через оферту).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Условия распоряжения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Оператор вправе списывать со счёта средства только: в пользу бенефициаров согласно долям; в счёт своего агентского вознаграждения (6,5%); в пользу банка (комиссия за эквайринг). Иные списания — только с письменного согласия всех бенефициаров.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6926"/>
      </w:tblGrid>
      <w:tr>
        <w:tc>
          <w:tcPr>
            <w:tcW w:type="dxa" w:w="2100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Отчётность</w:t>
            </w:r>
          </w:p>
        </w:tc>
        <w:tc>
          <w:tcPr>
            <w:tcW w:type="dxa" w:w="6926"/>
            <w:tcBorders>
              <w:top w:val="single" w:color="2E75B6" w:sz="4"/>
              <w:left w:val="single" w:color="2E75B6" w:sz="4"/>
              <w:bottom w:val="single" w:color="2E75B6" w:sz="4"/>
              <w:right w:val="single" w:color="2E75B6" w:sz="4"/>
            </w:tcBorders>
            <w:shd w:fill="F5F9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Оператор ежедневно формирует реестр транзакций и распределений, доступный бенефициарам через API или личный кабинет платформы.</w:t>
            </w:r>
          </w:p>
        </w:tc>
      </w:tr>
    </w:tbl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8. ПУБЛИЧНАЯ ОФЕРТА ДЛЯ ПОКУПАТЕЛЕЙ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8.1. Правовая основа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Ст. 437 ГК РФ (публичная оферта), ст. 438 ГК РФ (акцепт). Оферта размещается на платёжном терминале, экране киоска, QR-коде или в мобильном приложении. Акцептом является факт совершения платежа покупателем.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8.2. Обязательное содержание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Наименование Оператора (полное, ИНН, ОГРН, юридический и фактический адрес).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Описание сервиса: Оператор обеспечивает приём безналичных платежей за товары, реализуемые Партнёрами (наименования ТСП или ссылка на перечень).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Указание на то, что Оператор является платёжным агентом ТСП (если выбран Сценарий 2 в разделе 9).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Порядок возврата: сроки (до 30 дней), основания (возврат товара, технические ошибки), способ (на карту списания), контакт для обращений.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Ссылка на политику обработки персональных данных (ФЗ № 152-ФЗ).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Порядок предъявления претензий и досудебного урегулирования споров.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Применимое право: Российская Федерация; место рассмотрения споров — суд по месту нахождения Оператора (для юрлиц) или по выбору потребителя (для физлиц, ЗоПП).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8.3. Что покупатель не должен видеть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Механизм распределения 70/20/10 является коммерческой тайной (ФЗ № 98-ФЗ). Покупателю важны: наименование продавца, сумма, состав покупки, способ обращения с претензией.</w:t>
      </w:r>
    </w:p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9. КАССОВЫЙ ЧЕК: РЕКВИЗИТЫ И ПРЕДСТАВЛЕНИЕ СТОРОН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9.1. Правовая основа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ФЗ № 54-ФЗ "О применении контрольно-кассовой техники"; Приказ ФНС России № ММВ-7-20/229@ (форматы фискальных документов, ФФД 1.2); ФЗ № 103-ФЗ "О деятельности по приёму платежей физических лиц" (платёжные агенты).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9.2. Сценарии оформления ккт и чека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Сценарий 1 (рекомендуется): КТ зарегистрирована на ТСП, управляется Оператором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ТСП регистрирует ККТ на себя в ФНС. Оператор через API облачной кассы формирует и пробивает чек от имени ТСП. Признак агента не требуется. В чеке: владелец ККТ = ТСП, ИНН = ИНН ТСП. Это наиболее "чистая" конструкция — максимально соответствует духу 54-ФЗ.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Сценарий 2: КТ зарегистрирована на Оператора (платёжный агент)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Оператор регистрирует ККТ на себя. Оператор обязан быть включён в реестр платёжных агентов ЦБ РФ (ст. 4 ФЗ № 103-ФЗ). В каждом чеке проставляются обязательные теги для агента.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9.3. Обязательные реквизиты кассового чека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900"/>
        <w:gridCol w:w="2200"/>
        <w:gridCol w:w="3326"/>
      </w:tblGrid>
      <w:tr>
        <w:trPr>
          <w:tblHeader/>
        </w:trP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Реквизит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Тег ФФД 1.2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Сценарий 1 (ккт ТСП)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Сценарий 2 (ккт Оператора-агента)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Наименование пользователя ккт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1048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Название ТСП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Название Оператора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ИНН пользователя ккт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1018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ИНН ТСП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ИНН Оператора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Признак агента (по предмету расч.)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1057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 требуется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"платёжный агент"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Наименование поставщика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1225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 требуется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Название ТСП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ИНН поставщика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1226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 требуется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ИНН ТСП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Телефон/email поставщика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1171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 требуется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Контакт ТСП (обязателен)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Телефон платёжного агента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1073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 требуется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Телефон Оператора (обязателен)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Предмет расчёта (позиции)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1059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Каждое блюдо отдельной строкой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Каждое блюдо отдельной строкой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Признак способа расчёта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1214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"Полная оплата"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"Полная оплата"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Признак предмета расчёта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1212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"Товар" (еда)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"Товар"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Ставка НДС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1199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"Без НДС" (при УСН до 60 млн/год)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"Без НДС"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Система налогообложения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1055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СНО ТСП (напр., УСН доходы)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СНО Оператора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Сумма итого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1020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Итоговая сумма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Итоговая сумма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Форма оплаты</w:t>
            </w:r>
          </w:p>
        </w:tc>
        <w:tc>
          <w:tcPr>
            <w:tcW w:type="dxa" w:w="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1031/1081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"Безналичными"</w:t>
            </w:r>
          </w:p>
        </w:tc>
        <w:tc>
          <w:tcPr>
            <w:tcW w:type="dxa" w:w="3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"Безналичными"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9.4. Пример структуры чека (Сценарий 1)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rPr>
          <w:tblHeader/>
        </w:trP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Поле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Значение (пример)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Кассир / Пользователь ккт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ИП Иванов Иван Иванович "Пицца Мотто"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ИНН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770112345678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Позиция 1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Пицца "Маргарита" х1 = 450,00 руб.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Позиция 2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Кола 0,5 л х2 = 150,00 руб.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ИТОГО к оплате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600,00 руб.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Безналичными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600,00 руб.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НДС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Без НДС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СНО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Упрощённая система налогообложения (доходы)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ОФД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Платформа ОФД / ОФД-Я (пример)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QR-код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chek.nalog.ru/?...</w:t>
            </w:r>
          </w:p>
        </w:tc>
      </w:tr>
      <w:tr>
        <w:tc>
          <w:tcPr>
            <w:tcW w:type="dxa" w:w="3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Телефон поддержки</w:t>
            </w:r>
          </w:p>
        </w:tc>
        <w:tc>
          <w:tcPr>
            <w:tcW w:type="dxa" w:w="55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+7 (800) XXX-XX-XX (Оператор)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9.5. Единый заказ из нескольких ТСП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Если покупатель заказывает блюда из разных ТСП в рамках одного заказа на платформе: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Предпочтительно: отдельный чек от каждого ТСП на свои позиции (тег 1048 = ТСП по каждому чеку).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Альтернативно: единый чек с разбивкой по поставщикам на уровне позиций (тег 1225/1226 указывается для каждой позиции отдельно — поддерживается в ФФД 1.2, но реализуется не всеми ОФД).</w:t>
      </w:r>
    </w:p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10. НАЛОГОВЫЕ АСПЕКТЫ И ОБОСНОВАНИЕ МОДЕЛИ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10.1. Принцип разделения доходов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Ключевое правовое основание: каждый участник получает только свой доход, средства других участников через его счёт не проходят. Это не налоговая схема, а правильное структурирование договорных отношений и платёжных потоков. Налоговая база каждого участника равна его фактическому доходу, а не совокупному обороту платформы.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10.2. Актуальные пороги НДС (с 01.01.2025)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2500"/>
        <w:gridCol w:w="2326"/>
      </w:tblGrid>
      <w:tr>
        <w:trPr>
          <w:tblHeader/>
        </w:trP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Годовой доход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Статус НДС</w:t>
            </w:r>
          </w:p>
        </w:tc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Ставка НДС</w:t>
            </w:r>
          </w:p>
        </w:tc>
        <w:tc>
          <w:tcPr>
            <w:tcW w:type="dxa" w:w="2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Ставка УСН (доходы)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 60 млн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Освобождение (ст. 145 НК РФ)</w:t>
            </w:r>
          </w:p>
        </w:tc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Без НДС</w:t>
            </w:r>
          </w:p>
        </w:tc>
        <w:tc>
          <w:tcPr>
            <w:tcW w:type="dxa" w:w="2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6%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60-250 млн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Обязан платить НДС</w:t>
            </w:r>
          </w:p>
        </w:tc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5% (без вычета) или 20% (с вычетом)</w:t>
            </w:r>
          </w:p>
        </w:tc>
        <w:tc>
          <w:tcPr>
            <w:tcW w:type="dxa" w:w="2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6%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250-450 млн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Обязан платить НДС</w:t>
            </w:r>
          </w:p>
        </w:tc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7% (без вычета) или 20% (с вычетом)</w:t>
            </w:r>
          </w:p>
        </w:tc>
        <w:tc>
          <w:tcPr>
            <w:tcW w:type="dxa" w:w="2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6%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Свыше 450 млн руб.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Утрата права на УСН</w:t>
            </w:r>
          </w:p>
        </w:tc>
        <w:tc>
          <w:tcPr>
            <w:tcW w:type="dxa" w:w="2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20%</w:t>
            </w:r>
          </w:p>
        </w:tc>
        <w:tc>
          <w:tcPr>
            <w:tcW w:type="dxa" w:w="23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ОСН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Практический расчёт: если совокупный оборот фудкорта (суммарно по всем ТСП) составляет до 85,7 млн руб./год, каждый ТСП с долей 70% остаётся ниже порога 60 млн руб. и освобождён от НДС. Арендодатель (20%) при таком обороте получает до 17,1 млн руб./год — также в зоне освобождения. Оператор (6,5%) при таком обороте получает до 5,6 млн руб./год — тем более без НДС.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10.3. Налоговая нагрузка каждого участника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00"/>
        <w:gridCol w:w="1500"/>
        <w:gridCol w:w="1800"/>
        <w:gridCol w:w="1926"/>
      </w:tblGrid>
      <w:tr>
        <w:trPr>
          <w:tblHeader/>
        </w:trP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Участник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База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УСН 6% (доходы)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УСН 15% (дох.-расх.)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Примечание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ТСП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70% от оборота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 (если есть расходы)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Самый распространённый вариант для ИП-ТСП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Арендодатель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20% от оборота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Для ИП с арендой оптимален УСН 6%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6,5% от оборота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Расходы на банк, зарплату, ПО снижают базу</w:t>
            </w:r>
          </w:p>
        </w:tc>
      </w:tr>
      <w:tr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Разработчик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Роялти</w:t>
            </w:r>
          </w:p>
        </w:tc>
        <w:tc>
          <w:tcPr>
            <w:tcW w:type="dxa" w:w="15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Да</w:t>
            </w:r>
          </w:p>
        </w:tc>
        <w:tc>
          <w:tcPr>
            <w:tcW w:type="dxa" w:w="19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Может также применять ПСН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10.4. Защита от переквалификации как "дробление бизнеса"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ФНС может квалифицировать модель как "дробление бизнеса" (ст. 54.1 НК РФ), если все участники аффилированы и разделение имеет исключительно налоговую цель. Меры защиты: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Независимость участников: ТСП, Арендодатель, Разработчик — самостоятельные субъекты с реальной хозяйственной деятельностью, собственными расходами, сотрудниками.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Деловая цель: каждый договор имеет коммерческое обоснование помимо налоговой экономии.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Рыночные цены: агентская комиссия 10%, арендная плата 20% — соответствуют рыночным ставкам для аналогичных услуг (закрепить сравнительным анализом рынка).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Документооборот: все операции подтверждены первичными документами.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Отсутствие транзитных схем: деньги поступают участникам напрямую через банк, а не через посредника.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10.5. Запрет самозанятых (НПД) как ТСП</w:t>
      </w:r>
    </w:p>
    <w:p>
      <w:pPr>
        <w:spacing w:after="80" w:before="8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Самозанятые (НПД) не вправе реализовывать чужие товары (п. 2 ч. 2 ст. 4 ФЗ № 422-ФЗ). ТСП, продающие готовую еду, не могут быть самозанятыми. Допустимые формы для ТСП: ИП на УСН, ООО на УСН.</w:t>
      </w:r>
    </w:p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11. РИСКИ И МИТИГАЦИЯ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000"/>
        <w:gridCol w:w="2000"/>
        <w:gridCol w:w="3626"/>
      </w:tblGrid>
      <w:tr>
        <w:trPr>
          <w:tblHeader/>
        </w:trP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Риск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Вероят-ность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Последствия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Меры митигации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 не включён в реестр платёжных агентов ЦБ РФ (при Сценарии 2)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Высокая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Штраф, запрет деятельности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Использовать Сценарий 1 (ккт ТСП) или пройти включение в реестр ЦБ РФ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Некорректные реквизиты чека (54-ФЗ)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Штраф до 100% неоформленной суммы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Тестовый режим работы ккт перед запуском, проверка у ОФД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Превышение порога 60 млн без постановки на учёт как плательщика НДС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Доначисление НДС, штраф, пени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Автоматический мониторинг оборота в платформе, уведомления участникам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Переквалификация как дробление бизнеса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Низкая (при реальных участниках)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Доначисление налогов на весь оборот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Независимость участников, деловые цели, рыночные цены, документооборот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Банк отказывает в многостороннем сплите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Невозможность реализации без банка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Заранее переговоры с 2-3 банками; подключение агрегатора (CloudPayments, ЮKassa)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Chargeback при нехватке средств у ТСП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Убытки Оператора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Удержание страхового депозита ТСП (1-3% оборота) или резервный фонд</w:t>
            </w:r>
          </w:p>
        </w:tc>
      </w:tr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ТСП нарушает санитарные нормы</w:t>
            </w:r>
          </w:p>
        </w:tc>
        <w:tc>
          <w:tcPr>
            <w:tcW w:type="dxa" w:w="1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Репутационные потери Оператора</w:t>
            </w:r>
          </w:p>
        </w:tc>
        <w:tc>
          <w:tcPr>
            <w:tcW w:type="dxa" w:w="3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Договорное обязательство ТСП + право Оператора на немедленное отключение</w:t>
            </w:r>
          </w:p>
        </w:tc>
      </w:tr>
    </w:tbl>
    <w:p>
      <w:pPr>
        <w:spacing w:after="40" w:before="40"/>
      </w:pPr>
      <w:r>
        <w:t xml:space="preserve"/>
      </w:r>
    </w:p>
    <w:p>
      <w:r>
        <w:br w:type="page"/>
      </w:r>
    </w:p>
    <w:p>
      <w:pPr>
        <w:pStyle w:val="Heading1"/>
        <w:spacing w:after="200" w:before="40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12. ПЛАН ЗАПУСКА И НЕОБХОДИМЫЕ ДОКУМЕНТЫ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12.1. Пошаговый план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Выбрать организационно-правовую форму для каждого участника (рекомендуется ИП или ООО на УСН 6%).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Разработать и подписать лицензионный договор Разработчик — Оператор.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Разработать шаблон договора подключения ТСП (включая публичную оферту).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Согласовать с Арендодателем договор аренды с переменной платой.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Выбрать банк-эквайер или агрегатор с поддержкой многостороннего сплита.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Подписать договор эквайринга и настроить таблицу маршрутизации.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Открыть номинальный счёт (при необходимости).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Зарегистрировать ккт и подключить к ОФД (по выбранному сценарию).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Провести тестовые транзакции и проверить корректность чеков и сплита.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Разместить публичную оферту для покупателей на терминалах/QR-кодах.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Запустить мониторинг оборота каждого участника (контроль НДС-порогов).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Ежеквартально: юридический аудит структуры и актуальности договоров.</w:t>
      </w:r>
    </w:p>
    <w:p>
      <w:pPr>
        <w:spacing w:after="40" w:before="40"/>
      </w:pPr>
      <w: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12.2. Перечень документов к разработке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200"/>
        <w:gridCol w:w="2626"/>
      </w:tblGrid>
      <w:tr>
        <w:trPr>
          <w:tblHeader/>
        </w:trP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Документ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Ответственный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F4E79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Срочность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Лицензионный договор (Разработчик — Оператор)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Критическая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подключения ТСП + публичная оферта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Критическая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аренды с переменной платой (Оператор — Арендодатель)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Критическая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эквайринга со сплит-маршрутизацией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Банк + 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Критическая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Договор номинального счёта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Банк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Высокая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Публичная оферта для покупателей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Высокая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Политика обработки персональных данных (ФЗ-152)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Высокая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Пользовательское соглашение (приложение/терминал)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Шаблон ежемесячного акта и агентского отчёта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Бухгалтер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Регламент возвратов (chargeback)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Оператор + Банк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0F7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</w:tr>
      <w:tr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Положение о коммерческой тайне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Юрист</w:t>
            </w:r>
          </w:p>
        </w:tc>
        <w:tc>
          <w:tcPr>
            <w:tcW w:type="dxa" w:w="262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Средняя</w:t>
            </w:r>
          </w:p>
        </w:tc>
      </w:tr>
    </w:tbl>
    <w:p>
      <w:pPr>
        <w:spacing w:after="40" w:before="40"/>
      </w:pPr>
      <w:r>
        <w:t xml:space="preserve"/>
      </w:r>
    </w:p>
    <w:p>
      <w:r>
        <w:br w:type="page"/>
      </w:r>
    </w:p>
    <w:p>
      <w:pPr>
        <w:pBdr>
          <w:top w:val="single" w:color="2E75B6" w:sz="8" w:space="4"/>
        </w:pBdr>
        <w:spacing w:after="100" w:before="200"/>
      </w:pPr>
    </w:p>
    <w:p>
      <w:pPr>
        <w:spacing w:after="100" w:before="1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ВАЖНАЯ ОГОВОРКА</w:t>
      </w:r>
    </w:p>
    <w:p>
      <w:pPr>
        <w:spacing w:after="80" w:before="80"/>
        <w:jc w:val="both"/>
      </w:pPr>
      <w:r>
        <w:rPr>
          <w:rFonts w:ascii="Arial" w:cs="Arial" w:eastAsia="Arial" w:hAnsi="Arial"/>
          <w:i/>
          <w:iCs/>
          <w:color w:val="AAAAAA"/>
          <w:sz w:val="20"/>
          <w:szCs w:val="20"/>
        </w:rPr>
        <w:t xml:space="preserve">Настоящий документ носит информационный характер и не является юридической консультацией. Конкретная реализация описанной модели требует детальной проверки квалифицированным налоговым консультантом и юристом с учётом актуального законодательства, судебной практики и индивидуальных обстоятельств проекта. Налоговое законодательство Российской Федерации динамично изменяется; актуальность всех приведённых норм подлежит проверке перед запуском.</w:t>
      </w:r>
    </w:p>
    <w:p>
      <w:pPr>
        <w:spacing w:after="0" w:before="80"/>
        <w:jc w:val="center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Редакция: июнь 2026 г.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EC6E8" w:sz="4" w:space="1"/>
      </w:pBdr>
      <w:jc w:val="center"/>
    </w:pPr>
    <w:r>
      <w:rPr>
        <w:rFonts w:ascii="Arial" w:cs="Arial" w:eastAsia="Arial" w:hAnsi="Arial"/>
        <w:color w:val="AAAAAA"/>
        <w:sz w:val="18"/>
        <w:szCs w:val="18"/>
      </w:rPr>
      <w:t xml:space="preserve">Страница </w:t>
    </w:r>
    <w:r>
      <w:rPr>
        <w:rFonts w:ascii="Arial" w:cs="Arial" w:eastAsia="Arial" w:hAnsi="Arial"/>
        <w:color w:val="AAAA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AAAAAA"/>
        <w:sz w:val="18"/>
        <w:szCs w:val="18"/>
      </w:rPr>
      <w:t xml:space="preserve"> из </w:t>
    </w:r>
    <w:r>
      <w:rPr>
        <w:rFonts w:ascii="Arial" w:cs="Arial" w:eastAsia="Arial" w:hAnsi="Arial"/>
        <w:color w:val="AAAA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1"/>
      </w:pBdr>
    </w:pPr>
    <w:r>
      <w:rPr>
        <w:rFonts w:ascii="Arial" w:cs="Arial" w:eastAsia="Arial" w:hAnsi="Arial"/>
        <w:color w:val="2E75B6"/>
        <w:sz w:val="18"/>
        <w:szCs w:val="18"/>
      </w:rPr>
      <w:t xml:space="preserve">Юридическая структура финтех-платформы для фудкортов</w:t>
    </w:r>
    <w:r>
      <w:rPr>
        <w:rFonts w:ascii="Arial" w:cs="Arial" w:eastAsia="Arial" w:hAnsi="Arial"/>
        <w:color w:val="AAAAAA"/>
        <w:sz w:val="16"/>
        <w:szCs w:val="16"/>
      </w:rPr>
      <w:t xml:space="preserve">  |  КОНФИДЕНЦИАЛЬНО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2026-06-29T11:19:55.315Z</dcterms:created>
  <dcterms:modified xsi:type="dcterms:W3CDTF">2026-06-29T11:19:55.318Z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